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328C9A">
      <w:pPr>
        <w:rPr>
          <w:rFonts w:hint="eastAsia" w:ascii="黑体" w:hAnsi="黑体" w:eastAsia="黑体"/>
          <w:sz w:val="32"/>
          <w:szCs w:val="32"/>
        </w:rPr>
      </w:pPr>
    </w:p>
    <w:p w14:paraId="2948D0AE">
      <w:pPr>
        <w:jc w:val="center"/>
        <w:rPr>
          <w:rFonts w:hint="eastAsia" w:ascii="方正小标宋_GBK" w:hAnsi="宋体" w:eastAsia="方正小标宋_GBK"/>
          <w:sz w:val="44"/>
          <w:szCs w:val="44"/>
        </w:rPr>
      </w:pPr>
    </w:p>
    <w:p w14:paraId="697A69C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木垒哈萨克自治县第三幼儿园</w:t>
      </w:r>
    </w:p>
    <w:p w14:paraId="18396EA2">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E56072E">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755E50BD">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3E4C6B8E">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14C6FB08">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309930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7FE9935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3EC5D721">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46DAF01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583A94A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5A6597C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067C36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66525F8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0127BF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6CF0E619">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70B84B4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692C2A3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5E5CA14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22A4E396">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2ABBB87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E9FEE23">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587FB72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36A2A93D">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194360FB">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48EC2C2A">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7671CD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39C9B52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A366AB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64A98D8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57A76F1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D5D0F7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0627CAE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3F9F1AD7">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55D582AB">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7B02CEC8">
      <w:r>
        <w:rPr>
          <w:rFonts w:hint="eastAsia" w:ascii="仿宋_GB2312" w:hAnsi="仿宋_GB2312" w:eastAsia="仿宋_GB2312" w:cs="仿宋_GB2312"/>
          <w:sz w:val="32"/>
          <w:szCs w:val="32"/>
        </w:rPr>
        <w:fldChar w:fldCharType="end"/>
      </w:r>
    </w:p>
    <w:p w14:paraId="35C3C7BE">
      <w:pPr>
        <w:rPr>
          <w:rFonts w:ascii="仿宋_GB2312" w:eastAsia="仿宋_GB2312"/>
          <w:sz w:val="32"/>
          <w:szCs w:val="32"/>
        </w:rPr>
      </w:pPr>
      <w:r>
        <w:rPr>
          <w:rFonts w:hint="eastAsia" w:ascii="仿宋_GB2312" w:eastAsia="仿宋_GB2312"/>
          <w:sz w:val="32"/>
          <w:szCs w:val="32"/>
        </w:rPr>
        <w:br w:type="page"/>
      </w:r>
    </w:p>
    <w:p w14:paraId="32D28BE1">
      <w:pPr>
        <w:jc w:val="center"/>
        <w:outlineLvl w:val="0"/>
        <w:rPr>
          <w:rFonts w:hint="eastAsia" w:ascii="黑体" w:hAnsi="黑体" w:eastAsia="黑体"/>
          <w:sz w:val="32"/>
          <w:szCs w:val="32"/>
        </w:rPr>
      </w:pPr>
      <w:bookmarkStart w:id="0" w:name="_Toc32314"/>
      <w:bookmarkStart w:id="1" w:name="_Toc24028"/>
      <w:r>
        <w:rPr>
          <w:rFonts w:hint="eastAsia" w:ascii="黑体" w:hAnsi="黑体" w:eastAsia="黑体"/>
          <w:sz w:val="32"/>
          <w:szCs w:val="32"/>
        </w:rPr>
        <w:t>第一部分 单位概况</w:t>
      </w:r>
      <w:bookmarkEnd w:id="0"/>
      <w:bookmarkEnd w:id="1"/>
    </w:p>
    <w:p w14:paraId="524D17FF">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29E62A2">
      <w:pPr>
        <w:ind w:firstLine="640" w:firstLineChars="200"/>
        <w:outlineLvl w:val="1"/>
        <w:rPr>
          <w:rFonts w:ascii="仿宋_GB2312" w:eastAsia="仿宋_GB2312"/>
          <w:sz w:val="32"/>
          <w:szCs w:val="32"/>
        </w:rPr>
      </w:pPr>
      <w:bookmarkStart w:id="4" w:name="_Toc31238"/>
      <w:bookmarkStart w:id="5" w:name="_Toc2151"/>
      <w:r>
        <w:rPr>
          <w:rFonts w:hint="eastAsia" w:ascii="仿宋_GB2312" w:eastAsia="仿宋_GB2312"/>
          <w:sz w:val="32"/>
          <w:szCs w:val="32"/>
        </w:rPr>
        <w:t>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eastAsia="仿宋_GB2312"/>
          <w:sz w:val="32"/>
          <w:szCs w:val="32"/>
          <w:lang w:eastAsia="zh-CN"/>
        </w:rPr>
        <w:t>主动地</w:t>
      </w:r>
      <w:r>
        <w:rPr>
          <w:rFonts w:hint="eastAsia" w:ascii="仿宋_GB2312" w:eastAsia="仿宋_GB2312"/>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p>
    <w:p w14:paraId="413AC841">
      <w:pPr>
        <w:ind w:firstLine="640" w:firstLineChars="200"/>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7213292">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木垒哈萨克自治县第三幼儿园2023年度，实有人数</w:t>
      </w:r>
      <w:r>
        <w:rPr>
          <w:rFonts w:hint="eastAsia" w:ascii="仿宋_GB2312" w:eastAsia="仿宋_GB2312"/>
          <w:sz w:val="32"/>
          <w:szCs w:val="32"/>
          <w:lang w:val="zh-CN"/>
        </w:rPr>
        <w:t>5</w:t>
      </w:r>
      <w:r>
        <w:rPr>
          <w:rFonts w:hint="eastAsia" w:ascii="仿宋_GB2312" w:eastAsia="仿宋_GB2312"/>
          <w:sz w:val="32"/>
          <w:szCs w:val="32"/>
        </w:rPr>
        <w:t>人，其中：在职人员</w:t>
      </w:r>
      <w:r>
        <w:rPr>
          <w:rFonts w:hint="eastAsia" w:ascii="仿宋_GB2312" w:eastAsia="仿宋_GB2312"/>
          <w:sz w:val="32"/>
          <w:szCs w:val="32"/>
          <w:lang w:val="zh-CN"/>
        </w:rPr>
        <w:t>5</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0</w:t>
      </w:r>
      <w:r>
        <w:rPr>
          <w:rFonts w:hint="eastAsia" w:ascii="仿宋_GB2312" w:eastAsia="仿宋_GB2312"/>
          <w:sz w:val="32"/>
          <w:szCs w:val="32"/>
        </w:rPr>
        <w:t>人。</w:t>
      </w:r>
    </w:p>
    <w:p w14:paraId="1F9DAD0F">
      <w:pPr>
        <w:ind w:firstLine="640" w:firstLineChars="200"/>
        <w:rPr>
          <w:rFonts w:hint="eastAsia" w:ascii="仿宋_GB2312" w:hAnsi="宋体" w:eastAsia="仿宋_GB2312" w:cs="宋体"/>
          <w:kern w:val="0"/>
          <w:sz w:val="32"/>
          <w:szCs w:val="32"/>
        </w:rPr>
      </w:pPr>
      <w:r>
        <w:rPr>
          <w:rFonts w:hint="eastAsia" w:ascii="仿宋_GB2312" w:eastAsia="仿宋_GB2312"/>
          <w:sz w:val="32"/>
          <w:szCs w:val="32"/>
        </w:rPr>
        <w:t>单位无下属预算单位，下设3个处室，分别是：财务室、教务处、安全总务科</w:t>
      </w:r>
      <w:r>
        <w:rPr>
          <w:rFonts w:hint="eastAsia" w:ascii="仿宋_GB2312" w:hAnsi="宋体" w:eastAsia="仿宋_GB2312" w:cs="宋体"/>
          <w:kern w:val="0"/>
          <w:sz w:val="32"/>
          <w:szCs w:val="32"/>
        </w:rPr>
        <w:t>。</w:t>
      </w:r>
    </w:p>
    <w:p w14:paraId="7F04DDC1">
      <w:pPr>
        <w:widowControl/>
        <w:jc w:val="left"/>
        <w:rPr>
          <w:rFonts w:hint="eastAsia" w:ascii="黑体" w:hAnsi="黑体" w:eastAsia="黑体"/>
          <w:sz w:val="32"/>
          <w:szCs w:val="32"/>
        </w:rPr>
      </w:pPr>
      <w:bookmarkStart w:id="6" w:name="_Toc3092"/>
      <w:bookmarkStart w:id="7" w:name="_Toc29374"/>
      <w:r>
        <w:rPr>
          <w:rFonts w:hint="eastAsia" w:ascii="黑体" w:hAnsi="黑体" w:eastAsia="黑体"/>
          <w:sz w:val="32"/>
          <w:szCs w:val="32"/>
        </w:rPr>
        <w:br w:type="page"/>
      </w:r>
    </w:p>
    <w:p w14:paraId="78BC35FD">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14:paraId="677014EE">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51DFEF90">
      <w:pPr>
        <w:ind w:firstLine="640" w:firstLineChars="200"/>
        <w:jc w:val="left"/>
        <w:rPr>
          <w:rFonts w:ascii="仿宋_GB2312" w:eastAsia="仿宋_GB2312"/>
          <w:sz w:val="32"/>
          <w:szCs w:val="32"/>
        </w:rPr>
      </w:pPr>
      <w:r>
        <w:rPr>
          <w:rFonts w:hint="eastAsia" w:ascii="仿宋_GB2312" w:eastAsia="仿宋_GB2312"/>
          <w:sz w:val="32"/>
          <w:szCs w:val="32"/>
        </w:rPr>
        <w:t>2023年度收入总计134.36万元，其中：本年收入合计134.36万元，使用非财政拨款结余0.00万元，年初结转和结余0.00万元。</w:t>
      </w:r>
    </w:p>
    <w:p w14:paraId="16F63FE1">
      <w:pPr>
        <w:ind w:firstLine="640" w:firstLineChars="200"/>
        <w:jc w:val="left"/>
        <w:rPr>
          <w:rFonts w:ascii="仿宋_GB2312" w:eastAsia="仿宋_GB2312"/>
          <w:sz w:val="32"/>
          <w:szCs w:val="32"/>
        </w:rPr>
      </w:pPr>
      <w:r>
        <w:rPr>
          <w:rFonts w:hint="eastAsia" w:ascii="仿宋_GB2312" w:eastAsia="仿宋_GB2312"/>
          <w:sz w:val="32"/>
          <w:szCs w:val="32"/>
        </w:rPr>
        <w:t>2023年度支出总计134.36万元，其中：本年支出合计134.36万元，结余分配0.00万元，年末结转和结余0.00万元。</w:t>
      </w:r>
    </w:p>
    <w:p w14:paraId="7FFD6909">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增加134.36万元</w:t>
      </w:r>
      <w:r>
        <w:rPr>
          <w:rFonts w:hint="eastAsia" w:ascii="仿宋_GB2312" w:eastAsia="仿宋_GB2312"/>
          <w:sz w:val="32"/>
          <w:szCs w:val="32"/>
        </w:rPr>
        <w:t>，增长100.00%，主要原因是：单位本年新增学前教育保障机制</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单位本年人员工资调增，</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r>
        <w:rPr>
          <w:rFonts w:hint="eastAsia" w:ascii="仿宋_GB2312" w:eastAsia="仿宋_GB2312"/>
          <w:sz w:val="32"/>
          <w:szCs w:val="32"/>
          <w:lang w:val="en-US" w:eastAsia="zh-CN"/>
        </w:rPr>
        <w:t>增加；人员养老保险缴费、人员公积金缴费增加</w:t>
      </w:r>
      <w:r>
        <w:rPr>
          <w:rFonts w:hint="eastAsia" w:ascii="仿宋_GB2312" w:eastAsia="仿宋_GB2312"/>
          <w:sz w:val="32"/>
          <w:szCs w:val="32"/>
        </w:rPr>
        <w:t>。</w:t>
      </w:r>
    </w:p>
    <w:p w14:paraId="37B3775B">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7AF6A5E9">
      <w:pPr>
        <w:ind w:firstLine="640" w:firstLineChars="200"/>
        <w:jc w:val="left"/>
        <w:rPr>
          <w:rFonts w:ascii="仿宋_GB2312" w:eastAsia="仿宋_GB2312"/>
          <w:sz w:val="32"/>
          <w:szCs w:val="32"/>
        </w:rPr>
      </w:pPr>
      <w:r>
        <w:rPr>
          <w:rFonts w:hint="eastAsia" w:ascii="仿宋_GB2312" w:eastAsia="仿宋_GB2312"/>
          <w:sz w:val="32"/>
          <w:szCs w:val="32"/>
        </w:rPr>
        <w:t>本年收入134.36万元，其中：财政拨款收入</w:t>
      </w:r>
      <w:r>
        <w:rPr>
          <w:rFonts w:hint="eastAsia" w:ascii="仿宋_GB2312" w:eastAsia="仿宋_GB2312"/>
          <w:sz w:val="32"/>
          <w:szCs w:val="32"/>
          <w:lang w:val="zh-CN"/>
        </w:rPr>
        <w:t>126.46</w:t>
      </w:r>
      <w:r>
        <w:rPr>
          <w:rFonts w:hint="eastAsia" w:ascii="仿宋_GB2312" w:eastAsia="仿宋_GB2312"/>
          <w:sz w:val="32"/>
          <w:szCs w:val="32"/>
        </w:rPr>
        <w:t>万元，占</w:t>
      </w:r>
      <w:r>
        <w:rPr>
          <w:rFonts w:hint="eastAsia" w:ascii="仿宋_GB2312" w:eastAsia="仿宋_GB2312"/>
          <w:sz w:val="32"/>
          <w:szCs w:val="32"/>
          <w:lang w:val="zh-CN"/>
        </w:rPr>
        <w:t>94.12</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7.90</w:t>
      </w:r>
      <w:r>
        <w:rPr>
          <w:rFonts w:hint="eastAsia" w:ascii="仿宋_GB2312" w:eastAsia="仿宋_GB2312"/>
          <w:sz w:val="32"/>
          <w:szCs w:val="32"/>
        </w:rPr>
        <w:t>万元，占</w:t>
      </w:r>
      <w:r>
        <w:rPr>
          <w:rFonts w:hint="eastAsia" w:ascii="仿宋_GB2312" w:eastAsia="仿宋_GB2312"/>
          <w:sz w:val="32"/>
          <w:szCs w:val="32"/>
          <w:lang w:val="zh-CN"/>
        </w:rPr>
        <w:t>5.88</w:t>
      </w:r>
      <w:r>
        <w:rPr>
          <w:rFonts w:hint="eastAsia" w:ascii="仿宋_GB2312" w:eastAsia="仿宋_GB2312"/>
          <w:sz w:val="32"/>
          <w:szCs w:val="32"/>
        </w:rPr>
        <w:t>%。</w:t>
      </w:r>
    </w:p>
    <w:p w14:paraId="6347E343">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57E678D9">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本年支出134.36万元，其中：基本支出92.64万元，占68.95%；项目支出41.73万元，占31.06%；上缴上级支出0.00万元，占0.00%；经营支出0.00万元，占0.00%；对附属单位补助支出0.00万元，占0.00%。</w:t>
      </w:r>
    </w:p>
    <w:p w14:paraId="3FB7122C">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6D40E6B1">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126.46</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万元，本年财政拨款收入</w:t>
      </w:r>
      <w:r>
        <w:rPr>
          <w:rFonts w:hint="eastAsia" w:ascii="仿宋_GB2312" w:eastAsia="仿宋_GB2312"/>
          <w:sz w:val="32"/>
          <w:szCs w:val="32"/>
          <w:lang w:val="zh-CN"/>
        </w:rPr>
        <w:t>126.46</w:t>
      </w:r>
      <w:r>
        <w:rPr>
          <w:rFonts w:hint="eastAsia" w:ascii="仿宋_GB2312" w:eastAsia="仿宋_GB2312"/>
          <w:sz w:val="32"/>
          <w:szCs w:val="32"/>
        </w:rPr>
        <w:t>万元。财政拨款支出总计</w:t>
      </w:r>
      <w:r>
        <w:rPr>
          <w:rFonts w:hint="eastAsia" w:ascii="仿宋_GB2312" w:eastAsia="仿宋_GB2312"/>
          <w:sz w:val="32"/>
          <w:szCs w:val="32"/>
          <w:lang w:val="zh-CN"/>
        </w:rPr>
        <w:t>126.46</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0.00</w:t>
      </w:r>
      <w:r>
        <w:rPr>
          <w:rFonts w:hint="eastAsia" w:ascii="仿宋_GB2312" w:eastAsia="仿宋_GB2312"/>
          <w:sz w:val="32"/>
          <w:szCs w:val="32"/>
        </w:rPr>
        <w:t>万元，本年财政拨款支出</w:t>
      </w:r>
      <w:r>
        <w:rPr>
          <w:rFonts w:hint="eastAsia" w:ascii="仿宋_GB2312" w:eastAsia="仿宋_GB2312"/>
          <w:sz w:val="32"/>
          <w:szCs w:val="32"/>
          <w:lang w:val="zh-CN"/>
        </w:rPr>
        <w:t>126.46</w:t>
      </w:r>
      <w:r>
        <w:rPr>
          <w:rFonts w:hint="eastAsia" w:ascii="仿宋_GB2312" w:eastAsia="仿宋_GB2312"/>
          <w:sz w:val="32"/>
          <w:szCs w:val="32"/>
        </w:rPr>
        <w:t>万元。</w:t>
      </w:r>
    </w:p>
    <w:p w14:paraId="6DDF03CB">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增加126.46万元</w:t>
      </w:r>
      <w:r>
        <w:rPr>
          <w:rFonts w:hint="eastAsia" w:ascii="仿宋_GB2312" w:eastAsia="仿宋_GB2312"/>
          <w:sz w:val="32"/>
          <w:szCs w:val="32"/>
        </w:rPr>
        <w:t>，增长100.00%,主要原因是：单位本年新增学前教育保障机制</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单位本年人员工资调增，</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r>
        <w:rPr>
          <w:rFonts w:hint="eastAsia" w:ascii="仿宋_GB2312" w:eastAsia="仿宋_GB2312"/>
          <w:sz w:val="32"/>
          <w:szCs w:val="32"/>
          <w:lang w:val="en-US" w:eastAsia="zh-CN"/>
        </w:rPr>
        <w:t>增加；人员养老保险缴费、人员公积金缴费增加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90.86</w:t>
      </w:r>
      <w:r>
        <w:rPr>
          <w:rFonts w:hint="eastAsia" w:ascii="仿宋_GB2312" w:eastAsia="仿宋_GB2312"/>
          <w:sz w:val="32"/>
          <w:szCs w:val="32"/>
        </w:rPr>
        <w:t>万元，决算数</w:t>
      </w:r>
      <w:r>
        <w:rPr>
          <w:rFonts w:hint="eastAsia" w:ascii="仿宋_GB2312" w:eastAsia="仿宋_GB2312"/>
          <w:sz w:val="32"/>
          <w:szCs w:val="32"/>
          <w:lang w:val="zh-CN"/>
        </w:rPr>
        <w:t>126.46</w:t>
      </w:r>
      <w:r>
        <w:rPr>
          <w:rFonts w:hint="eastAsia" w:ascii="仿宋_GB2312" w:eastAsia="仿宋_GB2312"/>
          <w:sz w:val="32"/>
          <w:szCs w:val="32"/>
        </w:rPr>
        <w:t>万元，预决算差异率39.18%，主要原因是：</w:t>
      </w:r>
      <w:r>
        <w:rPr>
          <w:rFonts w:hint="eastAsia" w:ascii="仿宋_GB2312" w:eastAsia="仿宋_GB2312"/>
          <w:sz w:val="32"/>
          <w:szCs w:val="32"/>
          <w:lang w:val="en-US" w:eastAsia="zh-CN"/>
        </w:rPr>
        <w:t>单位本年人员工资调增，</w:t>
      </w:r>
      <w:r>
        <w:rPr>
          <w:rFonts w:hint="eastAsia" w:ascii="仿宋_GB2312" w:eastAsia="仿宋_GB2312"/>
          <w:sz w:val="32"/>
          <w:szCs w:val="32"/>
        </w:rPr>
        <w:t>年中追加人员工资、津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等人员经费。</w:t>
      </w:r>
    </w:p>
    <w:p w14:paraId="1FA16761">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0E07A59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56696CC6">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2023年度一般公共预算财政拨款支出126.46万元，占本年支出合计的</w:t>
      </w:r>
      <w:r>
        <w:rPr>
          <w:rFonts w:hint="eastAsia" w:ascii="仿宋_GB2312" w:eastAsia="仿宋_GB2312"/>
          <w:sz w:val="32"/>
          <w:szCs w:val="32"/>
          <w:lang w:val="zh-CN"/>
        </w:rPr>
        <w:t>94.12%</w:t>
      </w:r>
      <w:r>
        <w:rPr>
          <w:rFonts w:hint="eastAsia" w:ascii="仿宋_GB2312" w:eastAsia="仿宋_GB2312"/>
          <w:sz w:val="32"/>
          <w:szCs w:val="32"/>
        </w:rPr>
        <w:t>。与上年相比，</w:t>
      </w:r>
      <w:r>
        <w:rPr>
          <w:rFonts w:hint="eastAsia" w:ascii="仿宋_GB2312" w:eastAsia="仿宋_GB2312"/>
          <w:sz w:val="32"/>
          <w:szCs w:val="32"/>
          <w:lang w:val="zh-CN"/>
        </w:rPr>
        <w:t>增加126.46万元</w:t>
      </w:r>
      <w:r>
        <w:rPr>
          <w:rFonts w:hint="eastAsia" w:ascii="仿宋_GB2312" w:eastAsia="仿宋_GB2312"/>
          <w:sz w:val="32"/>
          <w:szCs w:val="32"/>
        </w:rPr>
        <w:t>，增长100.00%,主要原因是：单位本年新增学前教育保障机制</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单位本年人员工资调增，</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r>
        <w:rPr>
          <w:rFonts w:hint="eastAsia" w:ascii="仿宋_GB2312" w:eastAsia="仿宋_GB2312"/>
          <w:sz w:val="32"/>
          <w:szCs w:val="32"/>
          <w:lang w:val="en-US" w:eastAsia="zh-CN"/>
        </w:rPr>
        <w:t>增加；人员养老保险缴费、人员公积金缴费增加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90.86</w:t>
      </w:r>
      <w:r>
        <w:rPr>
          <w:rFonts w:hint="eastAsia" w:ascii="仿宋_GB2312" w:eastAsia="仿宋_GB2312"/>
          <w:sz w:val="32"/>
          <w:szCs w:val="32"/>
        </w:rPr>
        <w:t>万元，决算数</w:t>
      </w:r>
      <w:r>
        <w:rPr>
          <w:rFonts w:hint="eastAsia" w:ascii="仿宋_GB2312" w:eastAsia="仿宋_GB2312"/>
          <w:sz w:val="32"/>
          <w:szCs w:val="32"/>
          <w:lang w:val="zh-CN"/>
        </w:rPr>
        <w:t>126.46</w:t>
      </w:r>
      <w:r>
        <w:rPr>
          <w:rFonts w:hint="eastAsia" w:ascii="仿宋_GB2312" w:eastAsia="仿宋_GB2312"/>
          <w:sz w:val="32"/>
          <w:szCs w:val="32"/>
        </w:rPr>
        <w:t>万元，预决算差异率</w:t>
      </w:r>
      <w:r>
        <w:rPr>
          <w:rFonts w:hint="eastAsia" w:ascii="仿宋_GB2312" w:eastAsia="仿宋_GB2312"/>
          <w:sz w:val="32"/>
          <w:szCs w:val="32"/>
          <w:lang w:val="zh-CN"/>
        </w:rPr>
        <w:t>39.18%</w:t>
      </w:r>
      <w:r>
        <w:rPr>
          <w:rFonts w:hint="eastAsia" w:ascii="仿宋_GB2312" w:eastAsia="仿宋_GB2312"/>
          <w:sz w:val="32"/>
          <w:szCs w:val="32"/>
        </w:rPr>
        <w:t>，主要原因是：</w:t>
      </w:r>
      <w:r>
        <w:rPr>
          <w:rFonts w:hint="eastAsia" w:ascii="仿宋_GB2312" w:eastAsia="仿宋_GB2312"/>
          <w:sz w:val="32"/>
          <w:szCs w:val="32"/>
          <w:lang w:val="en-US" w:eastAsia="zh-CN"/>
        </w:rPr>
        <w:t>单位本年人员工资调增，</w:t>
      </w:r>
      <w:r>
        <w:rPr>
          <w:rFonts w:hint="eastAsia" w:ascii="仿宋_GB2312" w:eastAsia="仿宋_GB2312"/>
          <w:sz w:val="32"/>
          <w:szCs w:val="32"/>
        </w:rPr>
        <w:t>年中追加人员工资、津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等人员经费。</w:t>
      </w:r>
    </w:p>
    <w:p w14:paraId="257EC19F">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0AD6B480">
      <w:pPr>
        <w:ind w:firstLine="640" w:firstLineChars="200"/>
        <w:jc w:val="left"/>
        <w:rPr>
          <w:rFonts w:ascii="仿宋_GB2312" w:eastAsia="仿宋_GB2312"/>
          <w:sz w:val="32"/>
          <w:szCs w:val="32"/>
          <w:lang w:val="zh-CN"/>
        </w:rPr>
      </w:pPr>
      <w:r>
        <w:rPr>
          <w:rFonts w:hint="eastAsia" w:ascii="仿宋_GB2312" w:eastAsia="仿宋_GB2312"/>
          <w:sz w:val="32"/>
          <w:szCs w:val="32"/>
        </w:rPr>
        <w:t>1</w:t>
      </w:r>
      <w:r>
        <w:rPr>
          <w:rFonts w:ascii="仿宋_GB2312" w:eastAsia="仿宋_GB2312"/>
          <w:sz w:val="32"/>
          <w:szCs w:val="32"/>
          <w:lang w:val="zh-CN"/>
        </w:rPr>
        <w:t>.教育支出（类）</w:t>
      </w:r>
      <w:r>
        <w:rPr>
          <w:rFonts w:hint="eastAsia" w:ascii="仿宋_GB2312" w:eastAsia="仿宋_GB2312"/>
          <w:sz w:val="32"/>
          <w:szCs w:val="32"/>
          <w:lang w:val="zh-CN"/>
        </w:rPr>
        <w:t>126.46</w:t>
      </w:r>
      <w:r>
        <w:rPr>
          <w:rFonts w:ascii="仿宋_GB2312" w:eastAsia="仿宋_GB2312"/>
          <w:sz w:val="32"/>
          <w:szCs w:val="32"/>
          <w:lang w:val="zh-CN"/>
        </w:rPr>
        <w:t>万元，占</w:t>
      </w:r>
      <w:r>
        <w:rPr>
          <w:rFonts w:hint="eastAsia" w:ascii="仿宋_GB2312" w:eastAsia="仿宋_GB2312"/>
          <w:sz w:val="32"/>
          <w:szCs w:val="32"/>
          <w:lang w:val="zh-CN"/>
        </w:rPr>
        <w:t>100.00</w:t>
      </w:r>
      <w:r>
        <w:rPr>
          <w:rFonts w:ascii="仿宋_GB2312" w:eastAsia="仿宋_GB2312"/>
          <w:sz w:val="32"/>
          <w:szCs w:val="32"/>
          <w:lang w:val="zh-CN"/>
        </w:rPr>
        <w:t>%</w:t>
      </w:r>
      <w:r>
        <w:rPr>
          <w:rFonts w:hint="eastAsia" w:ascii="仿宋_GB2312" w:eastAsia="仿宋_GB2312"/>
          <w:sz w:val="32"/>
          <w:szCs w:val="32"/>
          <w:lang w:val="zh-CN"/>
        </w:rPr>
        <w:t>。</w:t>
      </w:r>
    </w:p>
    <w:p w14:paraId="69D74DC4">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03CF4C0C">
      <w:pPr>
        <w:ind w:firstLine="640" w:firstLineChars="200"/>
        <w:jc w:val="left"/>
        <w:rPr>
          <w:rFonts w:ascii="仿宋_GB2312" w:eastAsia="仿宋_GB2312"/>
          <w:sz w:val="32"/>
          <w:szCs w:val="32"/>
          <w:lang w:val="zh-CN"/>
        </w:rPr>
      </w:pPr>
      <w:r>
        <w:rPr>
          <w:rFonts w:hint="eastAsia" w:ascii="仿宋_GB2312" w:eastAsia="仿宋_GB2312"/>
          <w:sz w:val="32"/>
          <w:szCs w:val="32"/>
        </w:rPr>
        <w:t>1.教育支出（类）普通教育（款）学前教育（项）:支出决算数为126.46万元，比上年决算增加126.46万元，增长100%，主要原因是：单位本年新增学前教育保障机制</w:t>
      </w:r>
      <w:r>
        <w:rPr>
          <w:rFonts w:hint="eastAsia" w:ascii="仿宋_GB2312" w:eastAsia="仿宋_GB2312"/>
          <w:sz w:val="32"/>
          <w:szCs w:val="32"/>
          <w:lang w:val="en-US" w:eastAsia="zh-CN"/>
        </w:rPr>
        <w:t>项目</w:t>
      </w:r>
      <w:r>
        <w:rPr>
          <w:rFonts w:hint="eastAsia" w:ascii="仿宋_GB2312" w:eastAsia="仿宋_GB2312"/>
          <w:sz w:val="32"/>
          <w:szCs w:val="32"/>
        </w:rPr>
        <w:t>经费</w:t>
      </w:r>
      <w:r>
        <w:rPr>
          <w:rFonts w:hint="eastAsia" w:ascii="仿宋_GB2312" w:eastAsia="仿宋_GB2312"/>
          <w:sz w:val="32"/>
          <w:szCs w:val="32"/>
          <w:lang w:eastAsia="zh-CN"/>
        </w:rPr>
        <w:t>；</w:t>
      </w:r>
      <w:r>
        <w:rPr>
          <w:rFonts w:hint="eastAsia" w:ascii="仿宋_GB2312" w:eastAsia="仿宋_GB2312"/>
          <w:sz w:val="32"/>
          <w:szCs w:val="32"/>
          <w:lang w:val="en-US" w:eastAsia="zh-CN"/>
        </w:rPr>
        <w:t>单位本年人员工资调增，</w:t>
      </w:r>
      <w:r>
        <w:rPr>
          <w:rFonts w:hint="eastAsia" w:ascii="仿宋_GB2312" w:eastAsia="仿宋_GB2312"/>
          <w:sz w:val="32"/>
          <w:szCs w:val="32"/>
        </w:rPr>
        <w:t>工资、津</w:t>
      </w:r>
      <w:r>
        <w:rPr>
          <w:rFonts w:hint="eastAsia" w:ascii="仿宋_GB2312" w:eastAsia="仿宋_GB2312"/>
          <w:sz w:val="32"/>
          <w:szCs w:val="32"/>
          <w:lang w:val="en-US" w:eastAsia="zh-CN"/>
        </w:rPr>
        <w:t>贴</w:t>
      </w:r>
      <w:r>
        <w:rPr>
          <w:rFonts w:hint="eastAsia" w:ascii="仿宋_GB2312" w:eastAsia="仿宋_GB2312"/>
          <w:sz w:val="32"/>
          <w:szCs w:val="32"/>
        </w:rPr>
        <w:t>补贴</w:t>
      </w:r>
      <w:r>
        <w:rPr>
          <w:rFonts w:hint="eastAsia" w:ascii="仿宋_GB2312" w:eastAsia="仿宋_GB2312"/>
          <w:sz w:val="32"/>
          <w:szCs w:val="32"/>
          <w:lang w:eastAsia="zh-CN"/>
        </w:rPr>
        <w:t>、</w:t>
      </w:r>
      <w:r>
        <w:rPr>
          <w:rFonts w:hint="eastAsia" w:ascii="仿宋_GB2312" w:eastAsia="仿宋_GB2312"/>
          <w:sz w:val="32"/>
          <w:szCs w:val="32"/>
          <w:lang w:val="en-US" w:eastAsia="zh-CN"/>
        </w:rPr>
        <w:t>奖金</w:t>
      </w:r>
      <w:r>
        <w:rPr>
          <w:rFonts w:hint="eastAsia" w:ascii="仿宋_GB2312" w:eastAsia="仿宋_GB2312"/>
          <w:sz w:val="32"/>
          <w:szCs w:val="32"/>
        </w:rPr>
        <w:t>等</w:t>
      </w:r>
      <w:r>
        <w:rPr>
          <w:rFonts w:hint="eastAsia" w:ascii="仿宋_GB2312" w:eastAsia="仿宋_GB2312"/>
          <w:sz w:val="32"/>
          <w:szCs w:val="32"/>
          <w:lang w:val="en-US" w:eastAsia="zh-CN"/>
        </w:rPr>
        <w:t>相关</w:t>
      </w:r>
      <w:r>
        <w:rPr>
          <w:rFonts w:hint="eastAsia" w:ascii="仿宋_GB2312" w:eastAsia="仿宋_GB2312"/>
          <w:sz w:val="32"/>
          <w:szCs w:val="32"/>
        </w:rPr>
        <w:t>人员经费</w:t>
      </w:r>
      <w:r>
        <w:rPr>
          <w:rFonts w:hint="eastAsia" w:ascii="仿宋_GB2312" w:eastAsia="仿宋_GB2312"/>
          <w:sz w:val="32"/>
          <w:szCs w:val="32"/>
          <w:lang w:val="en-US" w:eastAsia="zh-CN"/>
        </w:rPr>
        <w:t>增加；人员养老保险缴费、人员公积金缴费增加</w:t>
      </w:r>
      <w:bookmarkStart w:id="48" w:name="_GoBack"/>
      <w:bookmarkEnd w:id="48"/>
      <w:r>
        <w:rPr>
          <w:rFonts w:hint="eastAsia" w:ascii="仿宋_GB2312" w:eastAsia="仿宋_GB2312"/>
          <w:sz w:val="32"/>
          <w:szCs w:val="32"/>
          <w:lang w:val="zh-CN"/>
        </w:rPr>
        <w:t>。</w:t>
      </w:r>
    </w:p>
    <w:p w14:paraId="42A514CB">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21B7E92">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84.74万元，其中：人员经费78.64万元，包括：基本工资、津贴补贴、奖金、机关事业单位基本养老保险缴费、职工基本医疗保险缴费、其他社会保障缴费、住房公积金、奖励金。</w:t>
      </w:r>
    </w:p>
    <w:p w14:paraId="03D3842E">
      <w:pPr>
        <w:ind w:firstLine="640" w:firstLineChars="200"/>
        <w:jc w:val="left"/>
        <w:rPr>
          <w:rFonts w:ascii="仿宋_GB2312" w:eastAsia="仿宋_GB2312"/>
          <w:sz w:val="32"/>
          <w:szCs w:val="32"/>
        </w:rPr>
      </w:pPr>
      <w:r>
        <w:rPr>
          <w:rFonts w:hint="eastAsia" w:ascii="仿宋_GB2312" w:eastAsia="仿宋_GB2312"/>
          <w:sz w:val="32"/>
          <w:szCs w:val="32"/>
        </w:rPr>
        <w:t>公用经费6.10万元，包括：水费、电费、取暖费。</w:t>
      </w:r>
    </w:p>
    <w:p w14:paraId="648283B8">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E040DB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w:t>
      </w:r>
      <w:r>
        <w:rPr>
          <w:rFonts w:hint="eastAsia" w:ascii="仿宋_GB2312" w:eastAsia="仿宋_GB2312"/>
          <w:sz w:val="32"/>
          <w:szCs w:val="32"/>
        </w:rPr>
        <w:t>单位本年无此项经费</w:t>
      </w:r>
      <w:r>
        <w:rPr>
          <w:rFonts w:hint="eastAsia" w:ascii="仿宋_GB2312" w:eastAsia="仿宋_GB2312"/>
          <w:sz w:val="32"/>
          <w:szCs w:val="32"/>
          <w:lang w:val="zh-CN"/>
        </w:rPr>
        <w:t>。其中：因公出国（境）费支出0.00万元，占0.00%，比上年增加0.00万元，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7C8F50E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212011A1">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66510143">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原因是：本单位固定资产车辆与公务用车保有量一致无差异。</w:t>
      </w:r>
    </w:p>
    <w:p w14:paraId="4CAA54E2">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D8751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w:t>
      </w:r>
    </w:p>
    <w:p w14:paraId="0B49793D">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CBCD6D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138A494D">
      <w:pPr>
        <w:ind w:firstLine="640" w:firstLineChars="200"/>
        <w:jc w:val="left"/>
        <w:outlineLvl w:val="1"/>
        <w:rPr>
          <w:rFonts w:ascii="仿宋_GB2312" w:eastAsia="仿宋_GB2312"/>
          <w:sz w:val="32"/>
          <w:szCs w:val="32"/>
        </w:rPr>
      </w:pPr>
      <w:r>
        <w:rPr>
          <w:rFonts w:hint="eastAsia" w:ascii="黑体" w:hAnsi="黑体" w:eastAsia="黑体" w:cs="宋体"/>
          <w:bCs/>
          <w:kern w:val="0"/>
          <w:sz w:val="32"/>
          <w:szCs w:val="32"/>
        </w:rPr>
        <w:t>九、国有资本经营预算财政拨款收入支出决算情况说明</w:t>
      </w:r>
    </w:p>
    <w:p w14:paraId="3B2AD0FC">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4A02E5B">
      <w:pPr>
        <w:ind w:firstLine="640" w:firstLineChars="200"/>
        <w:jc w:val="left"/>
        <w:outlineLvl w:val="1"/>
        <w:rPr>
          <w:rFonts w:hint="eastAsia" w:ascii="黑体" w:hAnsi="黑体" w:eastAsia="黑体" w:cs="宋体"/>
          <w:bCs/>
          <w:kern w:val="0"/>
          <w:sz w:val="32"/>
          <w:szCs w:val="32"/>
        </w:rPr>
      </w:pPr>
      <w:bookmarkStart w:id="20" w:name="_Toc1235"/>
      <w:bookmarkStart w:id="21" w:name="_Toc7314"/>
      <w:r>
        <w:rPr>
          <w:rFonts w:hint="eastAsia" w:ascii="黑体" w:hAnsi="黑体" w:eastAsia="黑体" w:cs="宋体"/>
          <w:bCs/>
          <w:kern w:val="0"/>
          <w:sz w:val="32"/>
          <w:szCs w:val="32"/>
        </w:rPr>
        <w:t>十、其他重要事项的情况说明</w:t>
      </w:r>
      <w:bookmarkEnd w:id="20"/>
      <w:bookmarkEnd w:id="21"/>
    </w:p>
    <w:p w14:paraId="401F5EF5">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0E8AA743">
      <w:pPr>
        <w:ind w:firstLine="640" w:firstLineChars="200"/>
        <w:jc w:val="left"/>
        <w:rPr>
          <w:rFonts w:ascii="仿宋_GB2312" w:eastAsia="仿宋_GB2312"/>
          <w:sz w:val="32"/>
          <w:szCs w:val="32"/>
          <w:lang w:val="zh-CN"/>
        </w:rPr>
      </w:pPr>
      <w:bookmarkStart w:id="24" w:name="_Toc26704"/>
      <w:bookmarkStart w:id="25" w:name="_Toc227"/>
      <w:r>
        <w:rPr>
          <w:rFonts w:hint="eastAsia" w:ascii="仿宋_GB2312" w:eastAsia="仿宋_GB2312"/>
          <w:sz w:val="32"/>
          <w:szCs w:val="32"/>
          <w:lang w:val="zh-CN"/>
        </w:rPr>
        <w:t>2023年度</w:t>
      </w:r>
      <w:r>
        <w:rPr>
          <w:rFonts w:hint="eastAsia" w:ascii="仿宋_GB2312" w:eastAsia="仿宋_GB2312"/>
          <w:sz w:val="32"/>
          <w:szCs w:val="32"/>
        </w:rPr>
        <w:t>木垒哈萨克自治县第三幼儿园</w:t>
      </w:r>
      <w:r>
        <w:rPr>
          <w:rFonts w:hint="eastAsia" w:ascii="仿宋_GB2312" w:eastAsia="仿宋_GB2312"/>
          <w:sz w:val="32"/>
          <w:szCs w:val="32"/>
          <w:lang w:val="zh-CN"/>
        </w:rPr>
        <w:t>（事业单位）公用经费支出6.10万元，比上年增加6.10万元，增长</w:t>
      </w:r>
      <w:r>
        <w:rPr>
          <w:rFonts w:hint="eastAsia" w:ascii="仿宋_GB2312" w:eastAsia="仿宋_GB2312"/>
          <w:sz w:val="32"/>
          <w:szCs w:val="32"/>
        </w:rPr>
        <w:t>100</w:t>
      </w:r>
      <w:r>
        <w:rPr>
          <w:rFonts w:hint="eastAsia" w:ascii="仿宋_GB2312" w:eastAsia="仿宋_GB2312"/>
          <w:sz w:val="32"/>
          <w:szCs w:val="32"/>
          <w:lang w:val="zh-CN"/>
        </w:rPr>
        <w:t>.00%，主要原因是：</w:t>
      </w:r>
      <w:r>
        <w:rPr>
          <w:rFonts w:hint="eastAsia" w:ascii="仿宋_GB2312" w:eastAsia="仿宋_GB2312"/>
          <w:sz w:val="32"/>
          <w:szCs w:val="32"/>
        </w:rPr>
        <w:t>单位本年增加水费、电费、取暖费</w:t>
      </w:r>
      <w:r>
        <w:rPr>
          <w:rFonts w:hint="eastAsia" w:ascii="仿宋_GB2312" w:eastAsia="仿宋_GB2312"/>
          <w:sz w:val="32"/>
          <w:szCs w:val="32"/>
          <w:lang w:val="zh-CN"/>
        </w:rPr>
        <w:t>。</w:t>
      </w:r>
    </w:p>
    <w:p w14:paraId="783F690A">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33AD8B36">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2023年度政府采购支出总额8.74万元，其中：政府采购货物支出8.74万元、政府采购工程支出0.00万元、政府采购服务支出0.00万元。</w:t>
      </w:r>
    </w:p>
    <w:p w14:paraId="23C263B8">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授予中小企业合同金额8.74万元，占政府采购支出总额的100.00</w:t>
      </w:r>
      <w:r>
        <w:rPr>
          <w:rFonts w:ascii="仿宋_GB2312" w:eastAsia="仿宋_GB2312"/>
          <w:sz w:val="32"/>
          <w:szCs w:val="32"/>
          <w:lang w:val="zh-CN"/>
        </w:rPr>
        <w:t>%</w:t>
      </w:r>
      <w:r>
        <w:rPr>
          <w:rFonts w:hint="eastAsia" w:ascii="仿宋_GB2312" w:eastAsia="仿宋_GB2312"/>
          <w:sz w:val="32"/>
          <w:szCs w:val="32"/>
          <w:lang w:val="zh-CN"/>
        </w:rPr>
        <w:t>，其中：授予小微企业合同金额8.74万元，占政府采购支出总额的100.00</w:t>
      </w:r>
      <w:r>
        <w:rPr>
          <w:rFonts w:ascii="仿宋_GB2312" w:eastAsia="仿宋_GB2312"/>
          <w:sz w:val="32"/>
          <w:szCs w:val="32"/>
          <w:lang w:val="zh-CN"/>
        </w:rPr>
        <w:t>%</w:t>
      </w:r>
      <w:r>
        <w:rPr>
          <w:rFonts w:hint="eastAsia" w:ascii="仿宋_GB2312" w:eastAsia="仿宋_GB2312"/>
          <w:sz w:val="32"/>
          <w:szCs w:val="32"/>
        </w:rPr>
        <w:t>。</w:t>
      </w:r>
    </w:p>
    <w:p w14:paraId="73786029">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C0DE852">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74.67</w:t>
      </w:r>
      <w:r>
        <w:rPr>
          <w:rFonts w:hint="eastAsia" w:ascii="仿宋_GB2312" w:eastAsia="仿宋_GB2312"/>
          <w:sz w:val="32"/>
          <w:szCs w:val="32"/>
        </w:rPr>
        <w:t>万元，房</w:t>
      </w:r>
      <w:r>
        <w:rPr>
          <w:rFonts w:hint="eastAsia" w:ascii="仿宋_GB2312" w:eastAsia="仿宋_GB2312"/>
          <w:sz w:val="32"/>
          <w:szCs w:val="32"/>
          <w:lang w:val="zh-CN"/>
        </w:rPr>
        <w:t>屋0.0</w:t>
      </w:r>
      <w:r>
        <w:rPr>
          <w:rFonts w:hint="eastAsia" w:ascii="仿宋_GB2312" w:eastAsia="仿宋_GB2312"/>
          <w:sz w:val="32"/>
          <w:szCs w:val="32"/>
        </w:rPr>
        <w:t>0</w:t>
      </w:r>
      <w:r>
        <w:rPr>
          <w:rFonts w:hint="eastAsia" w:ascii="仿宋_GB2312" w:eastAsia="仿宋_GB2312"/>
          <w:sz w:val="32"/>
          <w:szCs w:val="32"/>
          <w:lang w:val="zh-CN"/>
        </w:rPr>
        <w:t>平方米，价值0.00万元。车辆0辆，价值0.00万元，其中：副部（省）级及以上领导用车0辆、主要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6C96937D">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7A50C6E">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预算总额134.36万元，实际执行总额134.36万元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努力做好财政预算收入、支出以及各项目的管理工作，将预算及时公开到相关的信息网络平台，并在执行过程中积极对执行情况进行监控，对预算的资金进行全方位的监督和管理，使每一笔资金都能起到最大的使用效益；二是结合我校实际情</w:t>
      </w:r>
      <w:r>
        <w:rPr>
          <w:rFonts w:hint="eastAsia" w:ascii="仿宋_GB2312" w:eastAsia="仿宋_GB2312"/>
          <w:sz w:val="32"/>
          <w:szCs w:val="32"/>
          <w:lang w:val="en-US" w:eastAsia="zh-CN"/>
        </w:rPr>
        <w:t>况</w:t>
      </w:r>
      <w:r>
        <w:rPr>
          <w:rFonts w:hint="eastAsia" w:ascii="仿宋_GB2312" w:eastAsia="仿宋_GB2312"/>
          <w:sz w:val="32"/>
          <w:szCs w:val="32"/>
        </w:rPr>
        <w:t>分配资金，以达到合理高效地运用资金、提升资金的产出效果、节约成本与资源、提高部门的办事效率的目的。在部门预算整体支出绩效方面都按规定严格执行，合理安排支出，使财政资金发挥出最大的效益。发现的问题及原因：一是绩效监控管理理念有待进一步增强，绩效监控政策宣传不到位；二是机构设置和队伍建设需要进一步推进。我单位没有设置专门的预算绩效管理部门，只是由财务科负责，人员数量较少，专业能力较弱，现有工作人员的业务水平还不能满足绩效管理工作要求，业务素质急需提高。下一步改进措施：一是细化预算编制工作，认真做好预算的编制。进一步加强单位内部机构各科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具体项目自评情况附绩效自评表及自评报告。</w:t>
      </w:r>
    </w:p>
    <w:tbl>
      <w:tblPr>
        <w:tblStyle w:val="9"/>
        <w:tblW w:w="5000" w:type="pct"/>
        <w:jc w:val="center"/>
        <w:tblLayout w:type="autofit"/>
        <w:tblCellMar>
          <w:top w:w="0" w:type="dxa"/>
          <w:left w:w="108" w:type="dxa"/>
          <w:bottom w:w="0" w:type="dxa"/>
          <w:right w:w="108" w:type="dxa"/>
        </w:tblCellMar>
      </w:tblPr>
      <w:tblGrid>
        <w:gridCol w:w="1816"/>
        <w:gridCol w:w="1197"/>
        <w:gridCol w:w="1171"/>
        <w:gridCol w:w="968"/>
        <w:gridCol w:w="1001"/>
        <w:gridCol w:w="711"/>
        <w:gridCol w:w="916"/>
        <w:gridCol w:w="742"/>
      </w:tblGrid>
      <w:tr w14:paraId="03C61362">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1DAD91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628606DA">
        <w:tblPrEx>
          <w:tblCellMar>
            <w:top w:w="0" w:type="dxa"/>
            <w:left w:w="108" w:type="dxa"/>
            <w:bottom w:w="0" w:type="dxa"/>
            <w:right w:w="108" w:type="dxa"/>
          </w:tblCellMar>
        </w:tblPrEx>
        <w:trPr>
          <w:trHeight w:val="360" w:hRule="atLeast"/>
          <w:jc w:val="center"/>
        </w:trPr>
        <w:tc>
          <w:tcPr>
            <w:tcW w:w="0" w:type="auto"/>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60E23E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749F4633">
        <w:tblPrEx>
          <w:tblCellMar>
            <w:top w:w="0" w:type="dxa"/>
            <w:left w:w="108" w:type="dxa"/>
            <w:bottom w:w="0" w:type="dxa"/>
            <w:right w:w="108" w:type="dxa"/>
          </w:tblCellMar>
        </w:tblPrEx>
        <w:trPr>
          <w:trHeight w:val="660" w:hRule="atLeast"/>
          <w:jc w:val="center"/>
        </w:trPr>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1C7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0" w:type="auto"/>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0C0EC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w:t>
            </w:r>
          </w:p>
        </w:tc>
      </w:tr>
      <w:tr w14:paraId="3E859ED7">
        <w:tblPrEx>
          <w:tblCellMar>
            <w:top w:w="0" w:type="dxa"/>
            <w:left w:w="108" w:type="dxa"/>
            <w:bottom w:w="0" w:type="dxa"/>
            <w:right w:w="108" w:type="dxa"/>
          </w:tblCellMar>
        </w:tblPrEx>
        <w:trPr>
          <w:trHeight w:val="57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D54F9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4EC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EE66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EDFE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B5F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11E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59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F0B61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3ADEF432">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72B70D4">
            <w:pPr>
              <w:jc w:val="center"/>
              <w:rPr>
                <w:rFonts w:hint="eastAsia" w:ascii="宋体" w:hAnsi="宋体" w:cs="宋体"/>
                <w:color w:val="000000"/>
                <w:sz w:val="20"/>
                <w:szCs w:val="20"/>
              </w:rPr>
            </w:pP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943CD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F01844">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DFE01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27.36</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3AD4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27.36</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3BC3C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D37A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FFD6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55C9E2B9">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64AF796">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08EB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5BF1C">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90.86</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C173A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14.37</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ECFBF">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14.37</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F4927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A32B3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BE4E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18D6ED61">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0BACE6">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F4B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28738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45C6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BABAC1">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B734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A32E1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2CB98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D2D5E1B">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85D5A97">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68F6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CED77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C3D5A">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84.73</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AA778">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84.73</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379783">
            <w:pPr>
              <w:widowControl/>
              <w:jc w:val="center"/>
              <w:textAlignment w:val="center"/>
              <w:rPr>
                <w:rFonts w:hint="eastAsia" w:ascii="宋体" w:hAnsi="宋体" w:cs="宋体"/>
                <w:color w:val="000000"/>
                <w:kern w:val="0"/>
                <w:sz w:val="20"/>
                <w:szCs w:val="20"/>
                <w:lang w:bidi="ar"/>
              </w:rPr>
            </w:pPr>
            <w:r>
              <w:rPr>
                <w:rFonts w:hint="eastAsia"/>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BC4C3E">
            <w:pPr>
              <w:jc w:val="center"/>
              <w:rPr>
                <w:rFonts w:hint="eastAsia" w:ascii="宋体" w:hAnsi="宋体" w:cs="宋体"/>
                <w:color w:val="000000"/>
                <w:sz w:val="20"/>
                <w:szCs w:val="20"/>
              </w:rPr>
            </w:pPr>
            <w:r>
              <w:rPr>
                <w:rFonts w:hint="eastAsia"/>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C59D3A">
            <w:pPr>
              <w:jc w:val="center"/>
              <w:rPr>
                <w:rFonts w:hint="eastAsia" w:ascii="宋体" w:hAnsi="宋体" w:cs="宋体"/>
                <w:color w:val="000000"/>
                <w:sz w:val="20"/>
                <w:szCs w:val="20"/>
              </w:rPr>
            </w:pPr>
            <w:r>
              <w:rPr>
                <w:rFonts w:hint="eastAsia"/>
              </w:rPr>
              <w:t>-</w:t>
            </w:r>
          </w:p>
        </w:tc>
      </w:tr>
      <w:tr w14:paraId="7C1E3F77">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80402C">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2AB6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13590">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0.00</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90C3FB">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7.90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BB58F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7.90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50BAF8">
            <w:pPr>
              <w:widowControl/>
              <w:jc w:val="center"/>
              <w:textAlignment w:val="center"/>
              <w:rPr>
                <w:rFonts w:hint="eastAsia" w:ascii="宋体" w:hAnsi="宋体" w:cs="宋体"/>
                <w:color w:val="000000"/>
                <w:kern w:val="0"/>
                <w:sz w:val="20"/>
                <w:szCs w:val="20"/>
                <w:lang w:bidi="ar"/>
              </w:rPr>
            </w:pPr>
            <w:r>
              <w:rPr>
                <w:rFonts w:hint="eastAsia"/>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1A19F">
            <w:pPr>
              <w:jc w:val="center"/>
              <w:rPr>
                <w:rFonts w:hint="eastAsia" w:ascii="宋体" w:hAnsi="宋体" w:cs="宋体"/>
                <w:color w:val="000000"/>
                <w:sz w:val="20"/>
                <w:szCs w:val="20"/>
              </w:rPr>
            </w:pPr>
            <w:r>
              <w:rPr>
                <w:rFonts w:hint="eastAsia"/>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22F52">
            <w:pPr>
              <w:jc w:val="center"/>
              <w:rPr>
                <w:rFonts w:hint="eastAsia" w:ascii="宋体" w:hAnsi="宋体" w:cs="宋体"/>
                <w:color w:val="000000"/>
                <w:sz w:val="20"/>
                <w:szCs w:val="20"/>
              </w:rPr>
            </w:pPr>
            <w:r>
              <w:rPr>
                <w:rFonts w:hint="eastAsia"/>
              </w:rPr>
              <w:t>-</w:t>
            </w:r>
          </w:p>
        </w:tc>
      </w:tr>
      <w:tr w14:paraId="4EB66C1C">
        <w:tblPrEx>
          <w:tblCellMar>
            <w:top w:w="0" w:type="dxa"/>
            <w:left w:w="108" w:type="dxa"/>
            <w:bottom w:w="0" w:type="dxa"/>
            <w:right w:w="108" w:type="dxa"/>
          </w:tblCellMar>
        </w:tblPrEx>
        <w:trPr>
          <w:trHeight w:val="88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F75C0FA">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78FD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B566E">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90.86</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FAEC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134.36</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F0C29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134.36</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5DA79">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B0F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1250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5FA6353">
        <w:tblPrEx>
          <w:tblCellMar>
            <w:top w:w="0" w:type="dxa"/>
            <w:left w:w="108" w:type="dxa"/>
            <w:bottom w:w="0" w:type="dxa"/>
            <w:right w:w="108" w:type="dxa"/>
          </w:tblCellMar>
        </w:tblPrEx>
        <w:trPr>
          <w:trHeight w:val="705"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475E3F0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0" w:type="auto"/>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A47C4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0" w:type="auto"/>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0AB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1A0C0AE3">
        <w:tblPrEx>
          <w:tblCellMar>
            <w:top w:w="0" w:type="dxa"/>
            <w:left w:w="108" w:type="dxa"/>
            <w:bottom w:w="0" w:type="dxa"/>
            <w:right w:w="108" w:type="dxa"/>
          </w:tblCellMar>
        </w:tblPrEx>
        <w:trPr>
          <w:trHeight w:val="200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1C159DF">
            <w:pPr>
              <w:jc w:val="center"/>
              <w:rPr>
                <w:rFonts w:hint="eastAsia" w:ascii="宋体" w:hAnsi="宋体" w:cs="宋体"/>
                <w:color w:val="000000"/>
                <w:sz w:val="20"/>
                <w:szCs w:val="20"/>
              </w:rPr>
            </w:pPr>
          </w:p>
        </w:tc>
        <w:tc>
          <w:tcPr>
            <w:tcW w:w="3336"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3EAF67F6">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目标1：保障木垒哈萨克自治县第三幼儿园教育教学工</w:t>
            </w:r>
            <w:r>
              <w:rPr>
                <w:rFonts w:hint="eastAsia" w:ascii="宋体" w:hAnsi="宋体" w:cs="宋体"/>
                <w:color w:val="000000"/>
                <w:kern w:val="0"/>
                <w:sz w:val="20"/>
                <w:szCs w:val="20"/>
                <w:lang w:eastAsia="zh-CN" w:bidi="ar"/>
              </w:rPr>
              <w:t>作</w:t>
            </w:r>
            <w:r>
              <w:rPr>
                <w:rFonts w:hint="eastAsia" w:ascii="宋体" w:hAnsi="宋体" w:cs="宋体"/>
                <w:color w:val="000000"/>
                <w:kern w:val="0"/>
                <w:sz w:val="20"/>
                <w:szCs w:val="20"/>
                <w:lang w:bidi="ar"/>
              </w:rPr>
              <w:t>圆满完成。</w:t>
            </w:r>
          </w:p>
          <w:p w14:paraId="4BEFE02D">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目标2：抓提高，求发展，初步形成科学规范的管理体系，加强班主任工作，提高教育教学管理水平。</w:t>
            </w:r>
          </w:p>
          <w:p w14:paraId="493D4313">
            <w:pPr>
              <w:widowControl/>
              <w:jc w:val="center"/>
              <w:textAlignment w:val="center"/>
              <w:rPr>
                <w:rFonts w:hint="eastAsia" w:ascii="宋体" w:hAnsi="宋体" w:cs="宋体"/>
                <w:color w:val="000000"/>
                <w:kern w:val="0"/>
                <w:sz w:val="20"/>
                <w:szCs w:val="20"/>
                <w:lang w:bidi="ar"/>
              </w:rPr>
            </w:pPr>
            <w:r>
              <w:rPr>
                <w:rFonts w:hint="eastAsia" w:ascii="宋体" w:hAnsi="宋体" w:cs="宋体"/>
                <w:color w:val="000000"/>
                <w:kern w:val="0"/>
                <w:sz w:val="20"/>
                <w:szCs w:val="20"/>
                <w:lang w:bidi="ar"/>
              </w:rPr>
              <w:t>目标3：积极开展班队活动、校园艺术节，特色体育和艺术教育等活动，努力构建多彩的校园文化。</w:t>
            </w:r>
          </w:p>
          <w:p w14:paraId="71A177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目标4：保障学前教育各项工作的正常开展，改善办学条件，维护学校正常运转。为各族少年儿童学习在学校、生活在学校、成长在学校创设良好条件。</w:t>
            </w:r>
          </w:p>
        </w:tc>
        <w:tc>
          <w:tcPr>
            <w:tcW w:w="3632"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5A5F6E0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单位整体绩效目标共设置一级指标5个，分别为运行成本、管理效率、履职效能、社会效益、服务对象满意度；二级指标3个，其中数量指标1个，质量指标1个，时效指标1个；三级指标10个；其中已完成三级指标10个，指标完成率为100%。</w:t>
            </w:r>
          </w:p>
        </w:tc>
      </w:tr>
      <w:tr w14:paraId="7858DF47">
        <w:tblPrEx>
          <w:tblCellMar>
            <w:top w:w="0" w:type="dxa"/>
            <w:left w:w="108" w:type="dxa"/>
            <w:bottom w:w="0" w:type="dxa"/>
            <w:right w:w="108" w:type="dxa"/>
          </w:tblCellMar>
        </w:tblPrEx>
        <w:trPr>
          <w:trHeight w:val="580" w:hRule="atLeast"/>
          <w:jc w:val="center"/>
        </w:trPr>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56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B3698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422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F6C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5355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B7DF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CBDA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883B5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441F23ED">
        <w:tblPrEx>
          <w:tblCellMar>
            <w:top w:w="0" w:type="dxa"/>
            <w:left w:w="108" w:type="dxa"/>
            <w:bottom w:w="0" w:type="dxa"/>
            <w:right w:w="108" w:type="dxa"/>
          </w:tblCellMar>
        </w:tblPrEx>
        <w:trPr>
          <w:trHeight w:val="740" w:hRule="atLeast"/>
          <w:jc w:val="center"/>
        </w:trPr>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7A97D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E20B0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2040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保障学校办公人员数量</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5D7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&gt;=22人</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699DA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木垒哈萨克自治县第三幼儿园机构改革方案</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0BF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494B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0B2F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14:paraId="416031A2">
        <w:tblPrEx>
          <w:tblCellMar>
            <w:top w:w="0" w:type="dxa"/>
            <w:left w:w="108" w:type="dxa"/>
            <w:bottom w:w="0" w:type="dxa"/>
            <w:right w:w="108" w:type="dxa"/>
          </w:tblCellMar>
        </w:tblPrEx>
        <w:trPr>
          <w:trHeight w:val="74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9B217D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4A27D1">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64F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学生补助人数</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763C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&gt;=136人</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EB2FE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9A18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431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136人</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B90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r w14:paraId="3EF8E5FD">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225CE154">
            <w:pPr>
              <w:jc w:val="center"/>
              <w:rPr>
                <w:rFonts w:hint="eastAsia" w:ascii="宋体" w:hAnsi="宋体" w:cs="宋体"/>
                <w:color w:val="000000"/>
                <w:sz w:val="20"/>
                <w:szCs w:val="20"/>
              </w:rPr>
            </w:pP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03D26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F399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资金发放率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3769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C9C35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6DE4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9B351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B77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CFA67D1">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9C01DC">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50044CB">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BDA9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学生活动参与率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CB6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02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E979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7A21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5FF9A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EB3F212">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6DB46F">
            <w:pPr>
              <w:jc w:val="center"/>
              <w:rPr>
                <w:rFonts w:hint="eastAsia" w:ascii="宋体" w:hAnsi="宋体" w:cs="宋体"/>
                <w:color w:val="000000"/>
                <w:sz w:val="20"/>
                <w:szCs w:val="20"/>
              </w:rPr>
            </w:pP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4AFFBBC">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594D5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学生升学（毕业）率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8C79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EB7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93AE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EB5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4956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12</w:t>
            </w:r>
          </w:p>
        </w:tc>
      </w:tr>
      <w:tr w14:paraId="02763C59">
        <w:tblPrEx>
          <w:tblCellMar>
            <w:top w:w="0" w:type="dxa"/>
            <w:left w:w="108" w:type="dxa"/>
            <w:bottom w:w="0" w:type="dxa"/>
            <w:right w:w="108" w:type="dxa"/>
          </w:tblCellMar>
        </w:tblPrEx>
        <w:trPr>
          <w:trHeight w:val="740" w:hRule="atLeast"/>
          <w:jc w:val="center"/>
        </w:trPr>
        <w:tc>
          <w:tcPr>
            <w:tcW w:w="155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85A871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FD3C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F659A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教师培训完成率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A30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B962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0D10F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4FCA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B74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13129BA">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CF5D835">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433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F192E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公用经费覆盖率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9D43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02CC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31832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81B7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D953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BCD5D11">
        <w:tblPrEx>
          <w:tblCellMar>
            <w:top w:w="0" w:type="dxa"/>
            <w:left w:w="108" w:type="dxa"/>
            <w:bottom w:w="0" w:type="dxa"/>
            <w:right w:w="108" w:type="dxa"/>
          </w:tblCellMar>
        </w:tblPrEx>
        <w:trPr>
          <w:trHeight w:val="740" w:hRule="atLeast"/>
          <w:jc w:val="center"/>
        </w:trPr>
        <w:tc>
          <w:tcPr>
            <w:tcW w:w="155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1AB5DD">
            <w:pPr>
              <w:jc w:val="center"/>
              <w:rPr>
                <w:rFonts w:hint="eastAsia" w:ascii="宋体" w:hAnsi="宋体" w:cs="宋体"/>
                <w:color w:val="000000"/>
                <w:sz w:val="20"/>
                <w:szCs w:val="20"/>
              </w:rPr>
            </w:pPr>
          </w:p>
        </w:tc>
        <w:tc>
          <w:tcPr>
            <w:tcW w:w="119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BFAB5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CEA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班主任培训人次</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4D6B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&gt;=5人次</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1333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BB85E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DC0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5人次</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AEDFD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75BAFFB3">
        <w:tblPrEx>
          <w:tblCellMar>
            <w:top w:w="0" w:type="dxa"/>
            <w:left w:w="108" w:type="dxa"/>
            <w:bottom w:w="0" w:type="dxa"/>
            <w:right w:w="108" w:type="dxa"/>
          </w:tblCellMar>
        </w:tblPrEx>
        <w:trPr>
          <w:trHeight w:val="740" w:hRule="atLeast"/>
          <w:jc w:val="center"/>
        </w:trPr>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7856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197"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3AC993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7DE2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学前免费教育政策知晓率</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7042C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&gt;=98%</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DB4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A98B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5BD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98%</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D9CF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19E6A8E">
        <w:tblPrEx>
          <w:tblCellMar>
            <w:top w:w="0" w:type="dxa"/>
            <w:left w:w="108" w:type="dxa"/>
            <w:bottom w:w="0" w:type="dxa"/>
            <w:right w:w="108" w:type="dxa"/>
          </w:tblCellMar>
        </w:tblPrEx>
        <w:trPr>
          <w:trHeight w:val="740" w:hRule="atLeast"/>
          <w:jc w:val="center"/>
        </w:trPr>
        <w:tc>
          <w:tcPr>
            <w:tcW w:w="1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E5E0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197"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8E98CB4">
            <w:pPr>
              <w:jc w:val="center"/>
              <w:rPr>
                <w:rFonts w:hint="eastAsia" w:ascii="宋体" w:hAnsi="宋体" w:cs="宋体"/>
                <w:color w:val="000000"/>
                <w:sz w:val="20"/>
                <w:szCs w:val="20"/>
              </w:rPr>
            </w:pPr>
          </w:p>
        </w:tc>
        <w:tc>
          <w:tcPr>
            <w:tcW w:w="117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7B9A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学生家长满意度</w:t>
            </w:r>
          </w:p>
        </w:tc>
        <w:tc>
          <w:tcPr>
            <w:tcW w:w="96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29CA2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30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木垒哈萨克自治县第三幼儿园2023年工作计划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A4BF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c>
          <w:tcPr>
            <w:tcW w:w="9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100B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92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88D6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6</w:t>
            </w:r>
          </w:p>
        </w:tc>
      </w:tr>
    </w:tbl>
    <w:p w14:paraId="556A866D">
      <w:pPr>
        <w:ind w:firstLine="640" w:firstLineChars="200"/>
        <w:jc w:val="left"/>
        <w:rPr>
          <w:rFonts w:hint="eastAsia" w:ascii="黑体" w:hAnsi="黑体" w:eastAsia="黑体" w:cs="宋体"/>
          <w:bCs/>
          <w:kern w:val="0"/>
          <w:sz w:val="32"/>
          <w:szCs w:val="32"/>
        </w:rPr>
      </w:pPr>
    </w:p>
    <w:p w14:paraId="72B3F051">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7C1742C4">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23695669">
      <w:pPr>
        <w:jc w:val="center"/>
        <w:outlineLvl w:val="0"/>
        <w:rPr>
          <w:rFonts w:hint="eastAsia" w:ascii="黑体" w:hAnsi="黑体" w:eastAsia="黑体"/>
          <w:sz w:val="32"/>
          <w:szCs w:val="32"/>
        </w:rPr>
      </w:pPr>
      <w:bookmarkStart w:id="30" w:name="_Toc3250"/>
      <w:bookmarkStart w:id="31" w:name="_Toc24143"/>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1B24C1B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6C27DBC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0271C6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779CE2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66E55D44">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837EA0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6419A65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47105B3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987F22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4F6152E0">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3B5489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3CAFCF2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3FAB11BD">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0D4623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0EC7C62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210A4DB1">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235352A0">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4E957700">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570321A7">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2E2ED7AA">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56145FFC">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66B32E78">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030AAF54">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4BF4D50C">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0A9E1BA9">
      <w:pPr>
        <w:ind w:firstLine="640" w:firstLineChars="200"/>
        <w:rPr>
          <w:rFonts w:ascii="仿宋_GB2312" w:eastAsia="仿宋_GB2312"/>
          <w:sz w:val="32"/>
          <w:szCs w:val="32"/>
        </w:rPr>
      </w:pPr>
    </w:p>
    <w:p w14:paraId="6E97D4E5">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161105">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BB7BC5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1BB7BC5F">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843335"/>
    <w:rsid w:val="0003073D"/>
    <w:rsid w:val="00213C59"/>
    <w:rsid w:val="003210CE"/>
    <w:rsid w:val="00577974"/>
    <w:rsid w:val="007D5460"/>
    <w:rsid w:val="00843335"/>
    <w:rsid w:val="00852A36"/>
    <w:rsid w:val="00B54366"/>
    <w:rsid w:val="00B70D59"/>
    <w:rsid w:val="00BC4158"/>
    <w:rsid w:val="00C818FB"/>
    <w:rsid w:val="00CD54A3"/>
    <w:rsid w:val="00F1334F"/>
    <w:rsid w:val="00F3105B"/>
    <w:rsid w:val="00F52A8D"/>
    <w:rsid w:val="00FB68F4"/>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08E47A0"/>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194BBB"/>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1307C2"/>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0B3B70"/>
    <w:rsid w:val="36965B9D"/>
    <w:rsid w:val="36C549FD"/>
    <w:rsid w:val="37433904"/>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231DBD"/>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B15523"/>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D798C"/>
    <w:rsid w:val="69D005C0"/>
    <w:rsid w:val="69D80B96"/>
    <w:rsid w:val="6AA171B4"/>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5701</Words>
  <Characters>6372</Characters>
  <Lines>52</Lines>
  <Paragraphs>14</Paragraphs>
  <TotalTime>3</TotalTime>
  <ScaleCrop>false</ScaleCrop>
  <LinksUpToDate>false</LinksUpToDate>
  <CharactersWithSpaces>6382</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2024-12-27T05:41:14Z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y fmtid="{D5CDD505-2E9C-101B-9397-08002B2CF9AE}" pid="4" name="KSOTemplateDocerSaveRecord">
    <vt:lpwstr>eyJoZGlkIjoiMzEwNTM5NzYwMDRjMzkwZTVkZjY2ODkwMGIxNGU0OTUiLCJ1c2VySWQiOiIxMTcxMDQ1MzEwIn0=</vt:lpwstr>
  </property>
</Properties>
</file>